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3271"/>
      </w:tblGrid>
      <w:tr w:rsidR="00914AB8" w:rsidTr="00914AB8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240" w:type="dxa"/>
                <w:left w:w="240" w:type="dxa"/>
                <w:bottom w:w="240" w:type="dxa"/>
                <w:right w:w="240" w:type="dxa"/>
              </w:tblCellMar>
              <w:tblLook w:val="04A0"/>
            </w:tblPr>
            <w:tblGrid>
              <w:gridCol w:w="7200"/>
            </w:tblGrid>
            <w:tr w:rsidR="00914AB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14AB8" w:rsidRPr="00914AB8" w:rsidRDefault="00914AB8" w:rsidP="00914AB8">
                  <w:pPr>
                    <w:pStyle w:val="Odlomakpopisa"/>
                    <w:spacing w:line="360" w:lineRule="auto"/>
                    <w:rPr>
                      <w:rStyle w:val="Naglaeno"/>
                      <w:rFonts w:asciiTheme="minorHAnsi" w:eastAsia="Times New Roman" w:hAnsiTheme="minorHAnsi" w:cs="Arial"/>
                      <w:i/>
                      <w:color w:val="505050"/>
                      <w:sz w:val="22"/>
                      <w:szCs w:val="22"/>
                    </w:rPr>
                  </w:pPr>
                  <w:r w:rsidRPr="00914AB8">
                    <w:rPr>
                      <w:rFonts w:ascii="Arial" w:eastAsia="Times New Roman" w:hAnsi="Arial" w:cs="Arial"/>
                      <w:i/>
                      <w:color w:val="505050"/>
                      <w:sz w:val="16"/>
                      <w:szCs w:val="16"/>
                    </w:rPr>
                    <w:t xml:space="preserve">      </w:t>
                  </w:r>
                  <w:r w:rsidRPr="00914AB8">
                    <w:rPr>
                      <w:i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048000" cy="3581400"/>
                        <wp:effectExtent l="19050" t="0" r="0" b="0"/>
                        <wp:docPr id="1" name="Slika 1" descr="https://gallery.mailchimp.com/025991582145732e3ab3e58df/images/Plak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025991582145732e3ab3e58df/images/Plak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358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4AB8">
                    <w:rPr>
                      <w:rFonts w:ascii="Arial" w:eastAsia="Times New Roman" w:hAnsi="Arial" w:cs="Arial"/>
                      <w:i/>
                      <w:color w:val="505050"/>
                      <w:sz w:val="16"/>
                      <w:szCs w:val="16"/>
                    </w:rPr>
                    <w:br/>
                    <w:t>   </w:t>
                  </w:r>
                  <w:r w:rsidRPr="00914AB8">
                    <w:rPr>
                      <w:rFonts w:ascii="Arial" w:eastAsia="Times New Roman" w:hAnsi="Arial" w:cs="Arial"/>
                      <w:i/>
                      <w:color w:val="505050"/>
                      <w:sz w:val="16"/>
                      <w:szCs w:val="16"/>
                    </w:rPr>
                    <w:br/>
                  </w:r>
                  <w:r w:rsidRPr="00914AB8">
                    <w:rPr>
                      <w:rFonts w:asciiTheme="minorHAnsi" w:eastAsia="Times New Roman" w:hAnsiTheme="minorHAnsi" w:cs="Arial"/>
                      <w:i/>
                      <w:color w:val="505050"/>
                      <w:sz w:val="22"/>
                      <w:szCs w:val="22"/>
                    </w:rPr>
                    <w:t> </w:t>
                  </w:r>
                  <w:r w:rsidRPr="00914AB8">
                    <w:rPr>
                      <w:rStyle w:val="Naglaeno"/>
                      <w:rFonts w:asciiTheme="minorHAnsi" w:eastAsia="Times New Roman" w:hAnsiTheme="minorHAnsi" w:cs="Arial"/>
                      <w:i/>
                      <w:color w:val="505050"/>
                      <w:sz w:val="22"/>
                      <w:szCs w:val="22"/>
                    </w:rPr>
                    <w:t>Otvoren kreativni natječaj "Podijeli znanje, a ne zadaću"</w:t>
                  </w:r>
                </w:p>
                <w:p w:rsidR="00914AB8" w:rsidRPr="00914AB8" w:rsidRDefault="00914AB8" w:rsidP="00914AB8">
                  <w:pPr>
                    <w:pStyle w:val="Odlomakpopisa"/>
                    <w:spacing w:line="360" w:lineRule="auto"/>
                    <w:rPr>
                      <w:rStyle w:val="Naglaeno"/>
                      <w:rFonts w:asciiTheme="minorHAnsi" w:eastAsia="Times New Roman" w:hAnsiTheme="minorHAnsi" w:cs="Arial"/>
                      <w:i/>
                      <w:color w:val="505050"/>
                      <w:sz w:val="22"/>
                      <w:szCs w:val="22"/>
                    </w:rPr>
                  </w:pPr>
                </w:p>
                <w:p w:rsidR="00914AB8" w:rsidRPr="00914AB8" w:rsidRDefault="00914AB8" w:rsidP="00914AB8">
                  <w:pPr>
                    <w:spacing w:line="360" w:lineRule="auto"/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</w:pPr>
                  <w:r w:rsidRPr="00914AB8">
                    <w:rPr>
                      <w:rStyle w:val="Naglaeno"/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 xml:space="preserve">„Podijeli znanje, a ne zadaću“ </w:t>
                  </w:r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>je kreativni natječaj Foruma za slobodu odgoja koji se provodi s ciljem podizanja svijesti o važnosti uloge građana i osobne odgovornosti u stvaranju društva s nultom tolerancijom na korupciju.</w:t>
                  </w:r>
                </w:p>
                <w:p w:rsidR="00914AB8" w:rsidRPr="00914AB8" w:rsidRDefault="00914AB8" w:rsidP="00914AB8">
                  <w:pPr>
                    <w:spacing w:line="360" w:lineRule="auto"/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</w:pPr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br/>
                    <w:t>Natječaj za otvoren za učenice i učenike srednjih škola od 14. travnja do 22. svibnja 2014. godine.</w:t>
                  </w:r>
                </w:p>
                <w:p w:rsidR="00914AB8" w:rsidRPr="00914AB8" w:rsidRDefault="00914AB8" w:rsidP="00914AB8">
                  <w:pPr>
                    <w:spacing w:line="360" w:lineRule="auto"/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</w:pPr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br/>
                    <w:t>Natječaj se provodi u sklopu projekta „Obrazovanje protiv korupcije“ kojeg provodi Forum za slobodu odgoja u partnerstvu s „</w:t>
                  </w:r>
                  <w:proofErr w:type="spellStart"/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>Network</w:t>
                  </w:r>
                  <w:proofErr w:type="spellEnd"/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>of</w:t>
                  </w:r>
                  <w:proofErr w:type="spellEnd"/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>Education</w:t>
                  </w:r>
                  <w:proofErr w:type="spellEnd"/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>Policy</w:t>
                  </w:r>
                  <w:proofErr w:type="spellEnd"/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>Centers</w:t>
                  </w:r>
                  <w:proofErr w:type="spellEnd"/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 xml:space="preserve">“, Agencijom lokalne demokracije, Sisak, Agencijom lokalne demokracije, Osijek, i </w:t>
                  </w:r>
                  <w:proofErr w:type="spellStart"/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>Info</w:t>
                  </w:r>
                  <w:proofErr w:type="spellEnd"/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 xml:space="preserve"> zonom, Split. Projekt financira Europska unija u sklopu programa IPA 2010 (Pomoć u tranziciji i izgradnji </w:t>
                  </w:r>
                  <w:proofErr w:type="spellStart"/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>insititucija</w:t>
                  </w:r>
                  <w:proofErr w:type="spellEnd"/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>), a sufinancira Ured za udruge Vlade Republike Hrvatske.</w:t>
                  </w:r>
                </w:p>
                <w:p w:rsidR="00914AB8" w:rsidRDefault="00914AB8" w:rsidP="00914AB8">
                  <w:pPr>
                    <w:spacing w:line="360" w:lineRule="auto"/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</w:pPr>
                </w:p>
                <w:p w:rsidR="00914AB8" w:rsidRPr="00914AB8" w:rsidRDefault="00914AB8" w:rsidP="00914AB8">
                  <w:pPr>
                    <w:spacing w:line="360" w:lineRule="auto"/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</w:pPr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br/>
                  </w:r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lastRenderedPageBreak/>
                    <w:t xml:space="preserve">Iako naslov natječaja cilja na prepisivanje koje u našem društvu još uvijek nije u potpunosti shvaćeno kao koruptivno i neetično djelo, a često se i tolerira, sam natječaj nije samo o prepisivanju. Želja je natječaja da potakne učenike na promišljanje o važnosti individualne odgovornosti u povećanju povjerenja u društvu, koji su konkretni </w:t>
                  </w:r>
                  <w:proofErr w:type="spellStart"/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>potupci</w:t>
                  </w:r>
                  <w:proofErr w:type="spellEnd"/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 xml:space="preserve"> potrebni da bi se povećala društvena odgovornost te koja je uloga škole kao zajednice u podizanju društvene odgovornosti.</w:t>
                  </w:r>
                </w:p>
                <w:p w:rsidR="00914AB8" w:rsidRPr="00914AB8" w:rsidRDefault="00914AB8" w:rsidP="00914AB8">
                  <w:pPr>
                    <w:spacing w:line="360" w:lineRule="auto"/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</w:pPr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br/>
                    <w:t>Dakle, ovaj Natječaj nije poziv na tužaljke o trenutnom stanju u društvu, već poziv na aktivno i konstruktivno predlaganje načina osobnog doprinosa razvoju odgovornijeg, poštenijeg hrvatskog društva i povratak izgubljenog društvenog povjerenja.</w:t>
                  </w:r>
                </w:p>
                <w:p w:rsidR="00914AB8" w:rsidRPr="00914AB8" w:rsidRDefault="00914AB8" w:rsidP="00914AB8">
                  <w:pPr>
                    <w:spacing w:line="360" w:lineRule="auto"/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</w:pPr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br/>
                    <w:t>Ovime pozivamo učenice i učenike da se kreativno izraze kroz literarne, likovne, grafičke i video radove o temi Natječaja. Najbolji radovi bit će nagrađeni, a 30 sudionika Natječaja dobit će i priliku sudjelovanja na Ljetnom seminaru „Obrazovanje protiv korupcije“ koji će se održati krajem lipnja.</w:t>
                  </w:r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br/>
                  </w:r>
                </w:p>
                <w:p w:rsidR="00914AB8" w:rsidRPr="00914AB8" w:rsidRDefault="00914AB8" w:rsidP="00914AB8">
                  <w:pPr>
                    <w:spacing w:line="360" w:lineRule="auto"/>
                    <w:rPr>
                      <w:rFonts w:asciiTheme="minorHAnsi" w:eastAsia="Times New Roman" w:hAnsiTheme="minorHAnsi" w:cs="Arial"/>
                      <w:i/>
                      <w:color w:val="505050"/>
                      <w:sz w:val="20"/>
                      <w:szCs w:val="20"/>
                    </w:rPr>
                  </w:pPr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>Informacije o Natječaju zajedno s dokumentima za preuzimanje mogu se</w:t>
                  </w:r>
                  <w:hyperlink r:id="rId6" w:tgtFrame="_blank" w:history="1">
                    <w:r w:rsidRPr="00914AB8">
                      <w:rPr>
                        <w:rStyle w:val="Hiperveza"/>
                        <w:rFonts w:asciiTheme="minorHAnsi" w:hAnsiTheme="minorHAnsi" w:cs="Arial"/>
                        <w:i/>
                        <w:color w:val="336699"/>
                        <w:sz w:val="22"/>
                        <w:szCs w:val="22"/>
                      </w:rPr>
                      <w:t xml:space="preserve"> naći na </w:t>
                    </w:r>
                    <w:proofErr w:type="spellStart"/>
                    <w:r w:rsidRPr="00914AB8">
                      <w:rPr>
                        <w:rStyle w:val="Hiperveza"/>
                        <w:rFonts w:asciiTheme="minorHAnsi" w:hAnsiTheme="minorHAnsi" w:cs="Arial"/>
                        <w:i/>
                        <w:color w:val="336699"/>
                        <w:sz w:val="22"/>
                        <w:szCs w:val="22"/>
                      </w:rPr>
                      <w:t>mrežnimstranicama</w:t>
                    </w:r>
                    <w:proofErr w:type="spellEnd"/>
                    <w:r w:rsidRPr="00914AB8">
                      <w:rPr>
                        <w:rStyle w:val="Hiperveza"/>
                        <w:rFonts w:asciiTheme="minorHAnsi" w:hAnsiTheme="minorHAnsi" w:cs="Arial"/>
                        <w:i/>
                        <w:color w:val="336699"/>
                        <w:sz w:val="22"/>
                        <w:szCs w:val="22"/>
                      </w:rPr>
                      <w:t xml:space="preserve"> Foruma za slobodu odgoja</w:t>
                    </w:r>
                  </w:hyperlink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t xml:space="preserve"> i partnera projekta.</w:t>
                  </w:r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br/>
                  </w:r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2"/>
                      <w:szCs w:val="22"/>
                    </w:rPr>
                    <w:br/>
                  </w:r>
                  <w:r w:rsidRPr="00914AB8">
                    <w:rPr>
                      <w:rFonts w:asciiTheme="minorHAnsi" w:hAnsiTheme="minorHAnsi" w:cs="Arial"/>
                      <w:b/>
                      <w:i/>
                      <w:color w:val="FF0000"/>
                      <w:sz w:val="22"/>
                      <w:szCs w:val="22"/>
                    </w:rPr>
                    <w:t>Na mrežnim stranicama mogu se naći i nastavne pripreme koje nastavnici mogu koristiti u nastavi kako bi potaknuli učenike da promišljaju o ovoj temi i da se prijave na Natječaj. Potičemo nastavnike da učenicima skrenu pažnju na ovaj Natječaj.</w:t>
                  </w:r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0"/>
                      <w:szCs w:val="20"/>
                    </w:rPr>
                    <w:br/>
                  </w:r>
                  <w:r w:rsidRPr="00914AB8">
                    <w:rPr>
                      <w:rFonts w:asciiTheme="minorHAnsi" w:hAnsiTheme="minorHAnsi" w:cs="Arial"/>
                      <w:i/>
                      <w:color w:val="505050"/>
                      <w:sz w:val="20"/>
                      <w:szCs w:val="20"/>
                    </w:rPr>
                    <w:br/>
                    <w:t> </w:t>
                  </w:r>
                </w:p>
                <w:p w:rsidR="00914AB8" w:rsidRPr="00914AB8" w:rsidRDefault="00914AB8" w:rsidP="00914AB8">
                  <w:pPr>
                    <w:pStyle w:val="StandardWeb"/>
                    <w:spacing w:line="360" w:lineRule="auto"/>
                    <w:ind w:left="720"/>
                    <w:rPr>
                      <w:rFonts w:ascii="Arial" w:hAnsi="Arial" w:cs="Arial"/>
                      <w:i/>
                      <w:color w:val="505050"/>
                      <w:sz w:val="16"/>
                      <w:szCs w:val="16"/>
                    </w:rPr>
                  </w:pPr>
                  <w:r w:rsidRPr="00914AB8">
                    <w:rPr>
                      <w:rFonts w:ascii="Arial" w:hAnsi="Arial" w:cs="Arial"/>
                      <w:i/>
                      <w:noProof/>
                      <w:color w:val="505050"/>
                      <w:sz w:val="20"/>
                      <w:szCs w:val="20"/>
                    </w:rPr>
                    <w:drawing>
                      <wp:inline distT="0" distB="0" distL="0" distR="0">
                        <wp:extent cx="2095500" cy="584200"/>
                        <wp:effectExtent l="19050" t="0" r="0" b="0"/>
                        <wp:docPr id="2" name="Slika 2" descr="https://gallery.mailchimp.com/025991582145732e3ab3e58df/images/UZ_POTPORU_E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025991582145732e3ab3e58df/images/UZ_POTPORU_E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4AB8" w:rsidRDefault="00914AB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14AB8" w:rsidTr="00914AB8">
        <w:trPr>
          <w:tblCellSpacing w:w="0" w:type="dxa"/>
          <w:jc w:val="center"/>
        </w:trPr>
        <w:tc>
          <w:tcPr>
            <w:tcW w:w="3360" w:type="dxa"/>
            <w:shd w:val="clear" w:color="auto" w:fill="FFFFFF"/>
            <w:hideMark/>
          </w:tcPr>
          <w:tbl>
            <w:tblPr>
              <w:tblW w:w="5000" w:type="pct"/>
              <w:tblCellMar>
                <w:top w:w="240" w:type="dxa"/>
                <w:left w:w="240" w:type="dxa"/>
                <w:bottom w:w="240" w:type="dxa"/>
                <w:right w:w="240" w:type="dxa"/>
              </w:tblCellMar>
              <w:tblLook w:val="04A0"/>
            </w:tblPr>
            <w:tblGrid>
              <w:gridCol w:w="3929"/>
            </w:tblGrid>
            <w:tr w:rsidR="00914AB8">
              <w:tc>
                <w:tcPr>
                  <w:tcW w:w="0" w:type="auto"/>
                  <w:vAlign w:val="center"/>
                  <w:hideMark/>
                </w:tcPr>
                <w:p w:rsidR="00914AB8" w:rsidRDefault="00914AB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914AB8" w:rsidRDefault="00914AB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tbl>
            <w:tblPr>
              <w:tblW w:w="5000" w:type="pct"/>
              <w:tblCellMar>
                <w:top w:w="240" w:type="dxa"/>
                <w:left w:w="240" w:type="dxa"/>
                <w:bottom w:w="240" w:type="dxa"/>
                <w:right w:w="240" w:type="dxa"/>
              </w:tblCellMar>
              <w:tblLook w:val="04A0"/>
            </w:tblPr>
            <w:tblGrid>
              <w:gridCol w:w="3271"/>
            </w:tblGrid>
            <w:tr w:rsidR="00914AB8">
              <w:tc>
                <w:tcPr>
                  <w:tcW w:w="0" w:type="auto"/>
                  <w:vAlign w:val="center"/>
                  <w:hideMark/>
                </w:tcPr>
                <w:p w:rsidR="00914AB8" w:rsidRDefault="00914AB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914AB8" w:rsidRDefault="00914AB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C7DDD" w:rsidRDefault="002C7DDD"/>
    <w:sectPr w:rsidR="002C7DDD" w:rsidSect="002C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C0518"/>
    <w:multiLevelType w:val="hybridMultilevel"/>
    <w:tmpl w:val="300CC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4AB8"/>
    <w:rsid w:val="002C7DDD"/>
    <w:rsid w:val="0091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B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14AB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14AB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14AB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4A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AB8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14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o.us4.list-manage1.com/track/click?u=025991582145732e3ab3e58df&amp;id=ad1dcea8ce&amp;e=e6a87b285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2014-04-14T12:15:00Z</dcterms:created>
  <dcterms:modified xsi:type="dcterms:W3CDTF">2014-04-14T12:20:00Z</dcterms:modified>
</cp:coreProperties>
</file>